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1276"/>
        <w:gridCol w:w="992"/>
        <w:gridCol w:w="3445"/>
        <w:gridCol w:w="1448"/>
      </w:tblGrid>
      <w:tr w14:paraId="75490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gridSpan w:val="5"/>
            <w:tcBorders>
              <w:top w:val="nil"/>
              <w:left w:val="nil"/>
              <w:bottom w:val="single" w:color="1F3864" w:themeColor="accent1" w:themeShade="80" w:sz="8" w:space="0"/>
              <w:right w:val="nil"/>
            </w:tcBorders>
          </w:tcPr>
          <w:p w14:paraId="07522BDF">
            <w:pPr>
              <w:spacing w:line="480" w:lineRule="auto"/>
              <w:jc w:val="center"/>
              <w:rPr>
                <w:rFonts w:ascii="Garamond" w:hAnsi="Garamond" w:eastAsia="宋体"/>
                <w:b/>
                <w:bCs/>
                <w:sz w:val="24"/>
                <w:szCs w:val="32"/>
              </w:rPr>
            </w:pPr>
            <w:r>
              <w:rPr>
                <w:rFonts w:ascii="Garamond" w:hAnsi="Garamond" w:eastAsia="宋体"/>
                <w:b/>
                <w:bCs/>
                <w:sz w:val="24"/>
                <w:szCs w:val="32"/>
              </w:rPr>
              <w:t>浙江大学MPA专业导师信息表</w:t>
            </w:r>
          </w:p>
        </w:tc>
      </w:tr>
      <w:tr w14:paraId="190D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1F3864" w:themeColor="accent1" w:themeShade="80" w:sz="8" w:space="0"/>
            </w:tcBorders>
          </w:tcPr>
          <w:p w14:paraId="39F1C6B9">
            <w:pPr>
              <w:spacing w:line="276" w:lineRule="auto"/>
              <w:jc w:val="center"/>
              <w:rPr>
                <w:rFonts w:ascii="Garamond" w:hAnsi="Garamond" w:eastAsia="宋体"/>
              </w:rPr>
            </w:pPr>
            <w:r>
              <w:rPr>
                <w:rFonts w:hint="eastAsia" w:ascii="Garamond" w:hAnsi="Garamond" w:eastAsia="宋体"/>
              </w:rPr>
              <w:t>姓名</w:t>
            </w:r>
          </w:p>
        </w:tc>
        <w:tc>
          <w:tcPr>
            <w:tcW w:w="1276" w:type="dxa"/>
            <w:tcBorders>
              <w:top w:val="single" w:color="1F3864" w:themeColor="accent1" w:themeShade="80" w:sz="8" w:space="0"/>
            </w:tcBorders>
          </w:tcPr>
          <w:p w14:paraId="732C7518">
            <w:pPr>
              <w:spacing w:line="276" w:lineRule="auto"/>
              <w:rPr>
                <w:rFonts w:hint="eastAsia" w:ascii="Garamond" w:hAnsi="Garamond" w:eastAsia="宋体"/>
                <w:lang w:val="en-US" w:eastAsia="zh-CN"/>
              </w:rPr>
            </w:pPr>
            <w:r>
              <w:rPr>
                <w:rFonts w:hint="eastAsia" w:ascii="Garamond" w:hAnsi="Garamond" w:eastAsia="宋体"/>
                <w:lang w:val="en-US" w:eastAsia="zh-CN"/>
              </w:rPr>
              <w:t>薛天航</w:t>
            </w:r>
          </w:p>
        </w:tc>
        <w:tc>
          <w:tcPr>
            <w:tcW w:w="992" w:type="dxa"/>
            <w:tcBorders>
              <w:top w:val="single" w:color="1F3864" w:themeColor="accent1" w:themeShade="80" w:sz="8" w:space="0"/>
            </w:tcBorders>
          </w:tcPr>
          <w:p w14:paraId="0E6248B4">
            <w:pPr>
              <w:spacing w:line="276" w:lineRule="auto"/>
              <w:jc w:val="center"/>
              <w:rPr>
                <w:rFonts w:ascii="Garamond" w:hAnsi="Garamond" w:eastAsia="宋体"/>
              </w:rPr>
            </w:pPr>
            <w:r>
              <w:rPr>
                <w:rFonts w:ascii="Garamond" w:hAnsi="Garamond" w:eastAsia="宋体"/>
              </w:rPr>
              <w:t>职称</w:t>
            </w:r>
          </w:p>
        </w:tc>
        <w:tc>
          <w:tcPr>
            <w:tcW w:w="3445" w:type="dxa"/>
            <w:tcBorders>
              <w:top w:val="single" w:color="1F3864" w:themeColor="accent1" w:themeShade="80" w:sz="8" w:space="0"/>
            </w:tcBorders>
          </w:tcPr>
          <w:p w14:paraId="108FAAB1">
            <w:pPr>
              <w:spacing w:line="276" w:lineRule="auto"/>
              <w:rPr>
                <w:rFonts w:hint="eastAsia" w:ascii="Garamond" w:hAnsi="Garamond" w:eastAsia="宋体"/>
                <w:lang w:val="en-US" w:eastAsia="zh-CN"/>
              </w:rPr>
            </w:pPr>
            <w:r>
              <w:rPr>
                <w:rFonts w:hint="eastAsia" w:ascii="Garamond" w:hAnsi="Garamond" w:eastAsia="宋体"/>
                <w:lang w:val="en-US" w:eastAsia="zh-CN"/>
              </w:rPr>
              <w:t>副研究员</w:t>
            </w:r>
          </w:p>
        </w:tc>
        <w:tc>
          <w:tcPr>
            <w:tcW w:w="1448" w:type="dxa"/>
            <w:vMerge w:val="restart"/>
            <w:tcBorders>
              <w:top w:val="single" w:color="1F3864" w:themeColor="accent1" w:themeShade="80" w:sz="8" w:space="0"/>
            </w:tcBorders>
          </w:tcPr>
          <w:p w14:paraId="483EC375">
            <w:pPr>
              <w:spacing w:line="276" w:lineRule="auto"/>
              <w:rPr>
                <w:rFonts w:ascii="Garamond" w:hAnsi="Garamond" w:eastAsia="宋体"/>
              </w:rPr>
            </w:pPr>
            <w:r>
              <w:rPr>
                <w:rFonts w:hint="eastAsia" w:ascii="Garamond" w:hAnsi="Garamond" w:eastAsia="宋体"/>
                <w:lang w:eastAsia="zh-CN"/>
              </w:rPr>
              <w:drawing>
                <wp:anchor distT="0" distB="0" distL="114300" distR="114300" simplePos="0" relativeHeight="251659264" behindDoc="1" locked="0" layoutInCell="1" allowOverlap="1">
                  <wp:simplePos x="0" y="0"/>
                  <wp:positionH relativeFrom="column">
                    <wp:posOffset>157480</wp:posOffset>
                  </wp:positionH>
                  <wp:positionV relativeFrom="paragraph">
                    <wp:posOffset>39370</wp:posOffset>
                  </wp:positionV>
                  <wp:extent cx="586740" cy="832485"/>
                  <wp:effectExtent l="0" t="0" r="3810" b="5715"/>
                  <wp:wrapNone/>
                  <wp:docPr id="2" name="图片 2" descr="微信图片_2026-03-06_082413_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6-03-06_082413_114"/>
                          <pic:cNvPicPr>
                            <a:picLocks noChangeAspect="1"/>
                          </pic:cNvPicPr>
                        </pic:nvPicPr>
                        <pic:blipFill>
                          <a:blip r:embed="rId4"/>
                          <a:stretch>
                            <a:fillRect/>
                          </a:stretch>
                        </pic:blipFill>
                        <pic:spPr>
                          <a:xfrm>
                            <a:off x="0" y="0"/>
                            <a:ext cx="586740" cy="832485"/>
                          </a:xfrm>
                          <a:prstGeom prst="rect">
                            <a:avLst/>
                          </a:prstGeom>
                        </pic:spPr>
                      </pic:pic>
                    </a:graphicData>
                  </a:graphic>
                </wp:anchor>
              </w:drawing>
            </w:r>
          </w:p>
          <w:p w14:paraId="2713794B">
            <w:pPr>
              <w:spacing w:line="276" w:lineRule="auto"/>
              <w:ind w:firstLine="210" w:firstLineChars="100"/>
              <w:rPr>
                <w:rFonts w:ascii="Garamond" w:hAnsi="Garamond" w:eastAsia="宋体"/>
              </w:rPr>
            </w:pPr>
          </w:p>
          <w:p w14:paraId="6109ED9F">
            <w:pPr>
              <w:spacing w:line="276" w:lineRule="auto"/>
              <w:ind w:firstLine="420" w:firstLineChars="200"/>
              <w:rPr>
                <w:rFonts w:hint="eastAsia" w:ascii="Garamond" w:hAnsi="Garamond" w:eastAsia="宋体"/>
                <w:lang w:eastAsia="zh-CN"/>
              </w:rPr>
            </w:pPr>
          </w:p>
        </w:tc>
      </w:tr>
      <w:tr w14:paraId="0A21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3904628">
            <w:pPr>
              <w:spacing w:line="276" w:lineRule="auto"/>
              <w:jc w:val="center"/>
              <w:rPr>
                <w:rFonts w:ascii="Garamond" w:hAnsi="Garamond" w:eastAsia="宋体"/>
              </w:rPr>
            </w:pPr>
            <w:r>
              <w:rPr>
                <w:rFonts w:ascii="Garamond" w:hAnsi="Garamond" w:eastAsia="宋体"/>
              </w:rPr>
              <w:t>性别</w:t>
            </w:r>
          </w:p>
        </w:tc>
        <w:tc>
          <w:tcPr>
            <w:tcW w:w="1276" w:type="dxa"/>
          </w:tcPr>
          <w:p w14:paraId="7E050F38">
            <w:pPr>
              <w:spacing w:line="276" w:lineRule="auto"/>
              <w:rPr>
                <w:rFonts w:hint="eastAsia" w:ascii="Garamond" w:hAnsi="Garamond" w:eastAsia="宋体"/>
                <w:lang w:val="en-US" w:eastAsia="zh-CN"/>
              </w:rPr>
            </w:pPr>
            <w:r>
              <w:rPr>
                <w:rFonts w:hint="eastAsia" w:ascii="Garamond" w:hAnsi="Garamond" w:eastAsia="宋体"/>
                <w:lang w:val="en-US" w:eastAsia="zh-CN"/>
              </w:rPr>
              <w:t>男</w:t>
            </w:r>
          </w:p>
        </w:tc>
        <w:tc>
          <w:tcPr>
            <w:tcW w:w="992" w:type="dxa"/>
          </w:tcPr>
          <w:p w14:paraId="4DC8CDFA">
            <w:pPr>
              <w:spacing w:line="276" w:lineRule="auto"/>
              <w:jc w:val="center"/>
              <w:rPr>
                <w:rFonts w:ascii="Garamond" w:hAnsi="Garamond" w:eastAsia="宋体"/>
              </w:rPr>
            </w:pPr>
            <w:r>
              <w:rPr>
                <w:rFonts w:ascii="Garamond" w:hAnsi="Garamond" w:eastAsia="宋体"/>
              </w:rPr>
              <w:t>研究所</w:t>
            </w:r>
          </w:p>
        </w:tc>
        <w:tc>
          <w:tcPr>
            <w:tcW w:w="3445" w:type="dxa"/>
          </w:tcPr>
          <w:p w14:paraId="05F9FE53">
            <w:pPr>
              <w:spacing w:line="276" w:lineRule="auto"/>
              <w:rPr>
                <w:rFonts w:hint="default" w:ascii="Garamond" w:hAnsi="Garamond" w:eastAsia="宋体"/>
                <w:lang w:val="en-US" w:eastAsia="zh-CN"/>
              </w:rPr>
            </w:pPr>
            <w:r>
              <w:rPr>
                <w:rFonts w:hint="eastAsia" w:ascii="Garamond" w:hAnsi="Garamond" w:eastAsia="宋体"/>
                <w:lang w:val="en-US" w:eastAsia="zh-CN"/>
              </w:rPr>
              <w:t>区域经济规划研究所</w:t>
            </w:r>
          </w:p>
        </w:tc>
        <w:tc>
          <w:tcPr>
            <w:tcW w:w="1448" w:type="dxa"/>
            <w:vMerge w:val="continue"/>
          </w:tcPr>
          <w:p w14:paraId="16DB2E1D">
            <w:pPr>
              <w:spacing w:line="276" w:lineRule="auto"/>
              <w:rPr>
                <w:rFonts w:ascii="Garamond" w:hAnsi="Garamond" w:eastAsia="宋体"/>
              </w:rPr>
            </w:pPr>
          </w:p>
        </w:tc>
      </w:tr>
      <w:tr w14:paraId="53E4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4F3FFCC2">
            <w:pPr>
              <w:spacing w:line="276" w:lineRule="auto"/>
              <w:jc w:val="center"/>
              <w:rPr>
                <w:rFonts w:ascii="Garamond" w:hAnsi="Garamond" w:eastAsia="宋体"/>
              </w:rPr>
            </w:pPr>
            <w:r>
              <w:rPr>
                <w:rFonts w:ascii="Garamond" w:hAnsi="Garamond" w:eastAsia="宋体"/>
              </w:rPr>
              <w:t>电子邮箱</w:t>
            </w:r>
          </w:p>
        </w:tc>
        <w:tc>
          <w:tcPr>
            <w:tcW w:w="5713" w:type="dxa"/>
            <w:gridSpan w:val="3"/>
          </w:tcPr>
          <w:p w14:paraId="20005C6C">
            <w:pPr>
              <w:spacing w:line="276" w:lineRule="auto"/>
              <w:rPr>
                <w:rFonts w:hint="default" w:ascii="Garamond" w:hAnsi="Garamond" w:eastAsia="宋体"/>
                <w:lang w:val="en-US" w:eastAsia="zh-CN"/>
              </w:rPr>
            </w:pPr>
            <w:r>
              <w:rPr>
                <w:rFonts w:hint="eastAsia" w:ascii="Garamond" w:hAnsi="Garamond" w:eastAsia="宋体"/>
                <w:lang w:val="en-US" w:eastAsia="zh-CN"/>
              </w:rPr>
              <w:t>xueth97@zju.edu.cn</w:t>
            </w:r>
          </w:p>
        </w:tc>
        <w:tc>
          <w:tcPr>
            <w:tcW w:w="1448" w:type="dxa"/>
            <w:vMerge w:val="continue"/>
          </w:tcPr>
          <w:p w14:paraId="0D536206">
            <w:pPr>
              <w:spacing w:line="276" w:lineRule="auto"/>
              <w:rPr>
                <w:rFonts w:ascii="Garamond" w:hAnsi="Garamond" w:eastAsia="宋体"/>
              </w:rPr>
            </w:pPr>
          </w:p>
        </w:tc>
      </w:tr>
      <w:tr w14:paraId="4192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2" w:type="dxa"/>
            <w:gridSpan w:val="4"/>
          </w:tcPr>
          <w:p w14:paraId="4662C7CE">
            <w:pPr>
              <w:spacing w:line="276" w:lineRule="auto"/>
              <w:rPr>
                <w:rFonts w:ascii="Garamond" w:hAnsi="Garamond" w:eastAsia="宋体"/>
                <w:b/>
              </w:rPr>
            </w:pPr>
            <w:r>
              <w:rPr>
                <w:rFonts w:ascii="Garamond" w:hAnsi="Garamond" w:eastAsia="宋体"/>
                <w:b/>
              </w:rPr>
              <w:t xml:space="preserve">个人主页： </w:t>
            </w:r>
            <w:r>
              <w:rPr>
                <w:rFonts w:hint="eastAsia" w:ascii="Garamond" w:hAnsi="Garamond" w:eastAsia="宋体"/>
                <w:b/>
              </w:rPr>
              <w:t>https://person.zju.edu.cn/97</w:t>
            </w:r>
          </w:p>
        </w:tc>
        <w:tc>
          <w:tcPr>
            <w:tcW w:w="1448" w:type="dxa"/>
            <w:vMerge w:val="continue"/>
          </w:tcPr>
          <w:p w14:paraId="5AE5544C">
            <w:pPr>
              <w:spacing w:line="276" w:lineRule="auto"/>
              <w:rPr>
                <w:rFonts w:ascii="Garamond" w:hAnsi="Garamond" w:eastAsia="宋体"/>
              </w:rPr>
            </w:pPr>
          </w:p>
        </w:tc>
      </w:tr>
      <w:tr w14:paraId="797B6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gridSpan w:val="5"/>
          </w:tcPr>
          <w:p w14:paraId="3D6F9DB0">
            <w:pPr>
              <w:spacing w:line="360" w:lineRule="auto"/>
              <w:jc w:val="center"/>
              <w:rPr>
                <w:rFonts w:ascii="Garamond" w:hAnsi="Garamond" w:eastAsia="宋体"/>
                <w:b/>
                <w:bCs/>
              </w:rPr>
            </w:pPr>
            <w:r>
              <w:rPr>
                <w:rFonts w:ascii="Garamond" w:hAnsi="Garamond" w:eastAsia="宋体"/>
                <w:b/>
                <w:bCs/>
              </w:rPr>
              <w:t>拟带MPA学生的论文选题方向</w:t>
            </w:r>
          </w:p>
        </w:tc>
      </w:tr>
      <w:tr w14:paraId="2109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290" w:type="dxa"/>
            <w:gridSpan w:val="5"/>
            <w:shd w:val="clear" w:color="auto" w:fill="D0CECE" w:themeFill="background2" w:themeFillShade="E6"/>
          </w:tcPr>
          <w:p w14:paraId="1E96CA4F">
            <w:pPr>
              <w:spacing w:line="276" w:lineRule="auto"/>
              <w:rPr>
                <w:rFonts w:hint="default" w:ascii="Garamond" w:hAnsi="Garamond" w:eastAsia="宋体"/>
                <w:b/>
                <w:bCs/>
                <w:lang w:val="en-US" w:eastAsia="zh-CN"/>
              </w:rPr>
            </w:pPr>
            <w:r>
              <w:rPr>
                <w:rFonts w:ascii="Garamond" w:hAnsi="Garamond" w:eastAsia="宋体"/>
                <w:b/>
                <w:bCs/>
              </w:rPr>
              <w:t xml:space="preserve">选题1： </w:t>
            </w:r>
            <w:r>
              <w:rPr>
                <w:rFonts w:hint="eastAsia" w:ascii="Garamond" w:hAnsi="Garamond" w:eastAsia="宋体"/>
                <w:b/>
                <w:bCs/>
                <w:lang w:val="en-US" w:eastAsia="zh-CN"/>
              </w:rPr>
              <w:t>数字平台对区域经济的影响机制与效应研究</w:t>
            </w:r>
          </w:p>
        </w:tc>
      </w:tr>
      <w:tr w14:paraId="491A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8290" w:type="dxa"/>
            <w:gridSpan w:val="5"/>
          </w:tcPr>
          <w:p w14:paraId="53100CD7">
            <w:pPr>
              <w:rPr>
                <w:rFonts w:ascii="Garamond" w:hAnsi="Garamond" w:eastAsia="宋体"/>
              </w:rPr>
            </w:pPr>
            <w:r>
              <w:rPr>
                <w:rFonts w:ascii="Garamond" w:hAnsi="Garamond" w:eastAsia="宋体"/>
              </w:rPr>
              <w:t>简介</w:t>
            </w:r>
            <w:r>
              <w:rPr>
                <w:rFonts w:hint="eastAsia" w:ascii="Garamond" w:hAnsi="Garamond" w:eastAsia="宋体"/>
              </w:rPr>
              <w:t>：</w:t>
            </w:r>
            <w:r>
              <w:rPr>
                <w:rFonts w:ascii="Garamond" w:hAnsi="Garamond" w:eastAsia="宋体"/>
              </w:rPr>
              <w:t xml:space="preserve"> </w:t>
            </w:r>
          </w:p>
          <w:p w14:paraId="258DA34D">
            <w:pPr>
              <w:rPr>
                <w:rFonts w:ascii="Garamond" w:hAnsi="Garamond" w:eastAsia="宋体"/>
              </w:rPr>
            </w:pPr>
            <w:r>
              <w:rPr>
                <w:rFonts w:hint="eastAsia" w:ascii="Garamond" w:hAnsi="Garamond" w:eastAsia="宋体"/>
              </w:rPr>
              <w:t>旨在探讨数字平台对区域经济的影响机制与效应。首先，分析数字平台如何通过降低交易成本、促进信息匹配和推动产业集聚，重塑区域经济空间格局。其次，运用面板数据模型与空间计量方法，实证检验数字平台发展对区域经济增长、产业结构升级及区域协调发展的具体效应。最后，基于理论与实证结论，提出优化数字平台建设以促进区域经济高质量发展的政策建议。</w:t>
            </w:r>
          </w:p>
        </w:tc>
      </w:tr>
      <w:tr w14:paraId="13AD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8290" w:type="dxa"/>
            <w:gridSpan w:val="5"/>
            <w:shd w:val="clear" w:color="auto" w:fill="D0CECE" w:themeFill="background2" w:themeFillShade="E6"/>
          </w:tcPr>
          <w:p w14:paraId="27BEAEA7">
            <w:pPr>
              <w:spacing w:line="276" w:lineRule="auto"/>
              <w:rPr>
                <w:rFonts w:hint="default" w:ascii="Garamond" w:hAnsi="Garamond" w:eastAsia="宋体"/>
                <w:b/>
                <w:bCs/>
                <w:lang w:val="en-US" w:eastAsia="zh-CN"/>
              </w:rPr>
            </w:pPr>
            <w:r>
              <w:rPr>
                <w:rFonts w:ascii="Garamond" w:hAnsi="Garamond" w:eastAsia="宋体"/>
                <w:b/>
                <w:bCs/>
              </w:rPr>
              <w:t xml:space="preserve">选题2： </w:t>
            </w:r>
            <w:r>
              <w:rPr>
                <w:rFonts w:hint="eastAsia" w:ascii="Garamond" w:hAnsi="Garamond" w:eastAsia="宋体"/>
                <w:b/>
                <w:bCs/>
                <w:lang w:val="en-US" w:eastAsia="zh-CN"/>
              </w:rPr>
              <w:t>营商环境对区域经济的影响机制与效应研究</w:t>
            </w:r>
          </w:p>
        </w:tc>
      </w:tr>
      <w:tr w14:paraId="3E1A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8290" w:type="dxa"/>
            <w:gridSpan w:val="5"/>
          </w:tcPr>
          <w:p w14:paraId="3E328F86">
            <w:pPr>
              <w:rPr>
                <w:rFonts w:ascii="Garamond" w:hAnsi="Garamond" w:eastAsia="宋体"/>
              </w:rPr>
            </w:pPr>
          </w:p>
          <w:p w14:paraId="6B7C09E7">
            <w:pPr>
              <w:rPr>
                <w:rFonts w:ascii="Garamond" w:hAnsi="Garamond" w:eastAsia="宋体"/>
              </w:rPr>
            </w:pPr>
            <w:r>
              <w:rPr>
                <w:rFonts w:ascii="Garamond" w:hAnsi="Garamond" w:eastAsia="宋体"/>
              </w:rPr>
              <w:t>简介</w:t>
            </w:r>
            <w:r>
              <w:rPr>
                <w:rFonts w:hint="eastAsia" w:ascii="Garamond" w:hAnsi="Garamond" w:eastAsia="宋体"/>
              </w:rPr>
              <w:t>：</w:t>
            </w:r>
            <w:r>
              <w:rPr>
                <w:rFonts w:ascii="Garamond" w:hAnsi="Garamond" w:eastAsia="宋体"/>
              </w:rPr>
              <w:t xml:space="preserve"> </w:t>
            </w:r>
          </w:p>
          <w:p w14:paraId="27843560">
            <w:pPr>
              <w:rPr>
                <w:rFonts w:hint="eastAsia" w:ascii="Garamond" w:hAnsi="Garamond" w:eastAsia="宋体"/>
              </w:rPr>
            </w:pPr>
            <w:r>
              <w:rPr>
                <w:rFonts w:hint="eastAsia" w:ascii="Garamond" w:hAnsi="Garamond" w:eastAsia="宋体"/>
              </w:rPr>
              <w:t>旨在探究营商环境对区域经济的影响机制与效应。首先，从理论上剖析营商环境通过降低制度性交易成本、激发市场主体活力及优化资源配置效率来驱动区域经济增长的内在逻辑。其次，构建多维评价指标体系，运用计量模型实证检验营商环境优化对区域创新能力提升、产业结构转型及经济高质量发展的具体效应。最后，为持续深化“放管服”改革、营造一流营商环境提供决策参考。</w:t>
            </w:r>
          </w:p>
          <w:p w14:paraId="67F18B6A">
            <w:pPr>
              <w:rPr>
                <w:rFonts w:hint="eastAsia" w:ascii="Garamond" w:hAnsi="Garamond" w:eastAsia="宋体"/>
              </w:rPr>
            </w:pPr>
          </w:p>
        </w:tc>
      </w:tr>
      <w:tr w14:paraId="65571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290" w:type="dxa"/>
            <w:gridSpan w:val="5"/>
            <w:shd w:val="clear" w:color="auto" w:fill="D0CECE" w:themeFill="background2" w:themeFillShade="E6"/>
          </w:tcPr>
          <w:p w14:paraId="7FEDB763">
            <w:pPr>
              <w:spacing w:line="276" w:lineRule="auto"/>
              <w:rPr>
                <w:rFonts w:hint="default" w:ascii="Garamond" w:hAnsi="Garamond" w:eastAsia="宋体"/>
                <w:b/>
                <w:bCs/>
                <w:lang w:val="en-US" w:eastAsia="zh-CN"/>
              </w:rPr>
            </w:pPr>
            <w:r>
              <w:rPr>
                <w:rFonts w:ascii="Garamond" w:hAnsi="Garamond" w:eastAsia="宋体"/>
                <w:b/>
                <w:bCs/>
              </w:rPr>
              <w:t xml:space="preserve">选题3： </w:t>
            </w:r>
            <w:r>
              <w:rPr>
                <w:rFonts w:hint="eastAsia" w:ascii="Garamond" w:hAnsi="Garamond" w:eastAsia="宋体"/>
                <w:b/>
                <w:bCs/>
                <w:lang w:eastAsia="zh-CN"/>
              </w:rPr>
              <w:t>“</w:t>
            </w:r>
            <w:r>
              <w:rPr>
                <w:rFonts w:hint="eastAsia" w:ascii="Garamond" w:hAnsi="Garamond" w:eastAsia="宋体"/>
                <w:b/>
                <w:bCs/>
                <w:lang w:val="en-US" w:eastAsia="zh-CN"/>
              </w:rPr>
              <w:t>十五五</w:t>
            </w:r>
            <w:r>
              <w:rPr>
                <w:rFonts w:hint="eastAsia" w:ascii="Garamond" w:hAnsi="Garamond" w:eastAsia="宋体"/>
                <w:b/>
                <w:bCs/>
                <w:lang w:eastAsia="zh-CN"/>
              </w:rPr>
              <w:t>”</w:t>
            </w:r>
            <w:r>
              <w:rPr>
                <w:rFonts w:hint="eastAsia" w:ascii="Garamond" w:hAnsi="Garamond" w:eastAsia="宋体"/>
                <w:b/>
                <w:bCs/>
                <w:lang w:val="en-US" w:eastAsia="zh-CN"/>
              </w:rPr>
              <w:t>规划在地方落实过程中存在的堵点、难点调查研究</w:t>
            </w:r>
          </w:p>
        </w:tc>
      </w:tr>
      <w:tr w14:paraId="4E3B1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290" w:type="dxa"/>
            <w:gridSpan w:val="5"/>
          </w:tcPr>
          <w:p w14:paraId="72D7F1E1">
            <w:pPr>
              <w:rPr>
                <w:rFonts w:ascii="Garamond" w:hAnsi="Garamond" w:eastAsia="宋体"/>
              </w:rPr>
            </w:pPr>
          </w:p>
          <w:p w14:paraId="37F1A13D">
            <w:pPr>
              <w:rPr>
                <w:rFonts w:hint="eastAsia" w:ascii="Garamond" w:hAnsi="Garamond" w:eastAsia="宋体"/>
              </w:rPr>
            </w:pPr>
            <w:r>
              <w:rPr>
                <w:rFonts w:ascii="Garamond" w:hAnsi="Garamond" w:eastAsia="宋体"/>
              </w:rPr>
              <w:t>简介</w:t>
            </w:r>
            <w:r>
              <w:rPr>
                <w:rFonts w:hint="eastAsia" w:ascii="Garamond" w:hAnsi="Garamond" w:eastAsia="宋体"/>
              </w:rPr>
              <w:t>：</w:t>
            </w:r>
          </w:p>
          <w:p w14:paraId="623D25E6">
            <w:pPr>
              <w:rPr>
                <w:rFonts w:hint="eastAsia" w:ascii="Garamond" w:hAnsi="Garamond" w:eastAsia="宋体"/>
              </w:rPr>
            </w:pPr>
            <w:r>
              <w:rPr>
                <w:rFonts w:hint="eastAsia" w:ascii="Garamond" w:hAnsi="Garamond" w:eastAsia="宋体"/>
              </w:rPr>
              <w:t>旨在深入调查“十五五”规划在地方落实过程中面临的堵点与难点。首先，通过实地调研与案例分析，系统梳理纵向协调不畅、横向衔接脱节、要素保障不足等共性障碍。其次，重点剖析产业转型瓶颈、创新效能不足、区域协同乏力等深层难题。最后，针对调研发现的问题，提出优化统筹机制、强化资源适配、提升规划操作性等对策建议，为规划高效落地提供决策参考。</w:t>
            </w:r>
          </w:p>
          <w:p w14:paraId="34D5889A">
            <w:pPr>
              <w:rPr>
                <w:rFonts w:hint="eastAsia" w:ascii="Garamond" w:hAnsi="Garamond" w:eastAsia="宋体"/>
              </w:rPr>
            </w:pPr>
          </w:p>
        </w:tc>
      </w:tr>
      <w:tr w14:paraId="76990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290" w:type="dxa"/>
            <w:gridSpan w:val="5"/>
          </w:tcPr>
          <w:p w14:paraId="6FB34B25">
            <w:pPr>
              <w:spacing w:line="360" w:lineRule="auto"/>
              <w:jc w:val="center"/>
              <w:rPr>
                <w:rFonts w:ascii="Garamond" w:hAnsi="Garamond" w:eastAsia="宋体"/>
                <w:b/>
                <w:bCs/>
              </w:rPr>
            </w:pPr>
            <w:r>
              <w:rPr>
                <w:rFonts w:hint="eastAsia" w:ascii="Garamond" w:hAnsi="Garamond" w:eastAsia="宋体"/>
                <w:b/>
                <w:bCs/>
              </w:rPr>
              <w:t>对MPA学生的要求</w:t>
            </w:r>
          </w:p>
        </w:tc>
      </w:tr>
      <w:tr w14:paraId="320C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8290" w:type="dxa"/>
            <w:gridSpan w:val="5"/>
            <w:tcBorders>
              <w:bottom w:val="single" w:color="1F3864" w:themeColor="accent1" w:themeShade="80" w:sz="8" w:space="0"/>
            </w:tcBorders>
          </w:tcPr>
          <w:p w14:paraId="7825B263">
            <w:pPr>
              <w:rPr>
                <w:rFonts w:ascii="Garamond" w:hAnsi="Garamond" w:eastAsia="宋体"/>
              </w:rPr>
            </w:pPr>
          </w:p>
          <w:p w14:paraId="77E3AE81">
            <w:pPr>
              <w:rPr>
                <w:rFonts w:hint="default" w:ascii="Garamond" w:hAnsi="Garamond" w:eastAsia="宋体"/>
                <w:lang w:val="en-US" w:eastAsia="zh-CN"/>
              </w:rPr>
            </w:pPr>
            <w:r>
              <w:rPr>
                <w:rFonts w:hint="eastAsia" w:ascii="Garamond" w:hAnsi="Garamond" w:eastAsia="宋体"/>
                <w:lang w:val="en-US" w:eastAsia="zh-CN"/>
              </w:rPr>
              <w:t>有一定经济学基础，最好在政府部门任职，对政策研究、报告撰写有兴趣。有志于将研究成果转化为政策文件，服务地方经济发展。本科为985高校优先录取。</w:t>
            </w:r>
          </w:p>
        </w:tc>
      </w:tr>
      <w:tr w14:paraId="38506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0" w:type="dxa"/>
            <w:gridSpan w:val="5"/>
            <w:tcBorders>
              <w:top w:val="single" w:color="1F3864" w:themeColor="accent1" w:themeShade="80" w:sz="8" w:space="0"/>
              <w:left w:val="nil"/>
              <w:bottom w:val="nil"/>
              <w:right w:val="nil"/>
            </w:tcBorders>
          </w:tcPr>
          <w:p w14:paraId="16D706F9">
            <w:pPr>
              <w:ind w:firstLine="400" w:firstLineChars="200"/>
              <w:rPr>
                <w:rFonts w:ascii="Garamond" w:hAnsi="Garamond" w:eastAsia="宋体"/>
                <w:sz w:val="20"/>
                <w:szCs w:val="22"/>
              </w:rPr>
            </w:pPr>
            <w:bookmarkStart w:id="0" w:name="_GoBack"/>
            <w:bookmarkEnd w:id="0"/>
            <w:r>
              <w:rPr>
                <w:rFonts w:hint="eastAsia" w:ascii="Garamond" w:hAnsi="Garamond" w:eastAsia="宋体"/>
                <w:sz w:val="20"/>
                <w:szCs w:val="22"/>
              </w:rPr>
              <w:t>本表更新时间：2</w:t>
            </w:r>
            <w:r>
              <w:rPr>
                <w:rFonts w:ascii="Garamond" w:hAnsi="Garamond" w:eastAsia="宋体"/>
                <w:sz w:val="20"/>
                <w:szCs w:val="22"/>
              </w:rPr>
              <w:t>024</w:t>
            </w:r>
            <w:r>
              <w:rPr>
                <w:rFonts w:hint="eastAsia" w:ascii="Garamond" w:hAnsi="Garamond" w:eastAsia="宋体"/>
                <w:sz w:val="20"/>
                <w:szCs w:val="22"/>
              </w:rPr>
              <w:t>年</w:t>
            </w:r>
            <w:r>
              <w:rPr>
                <w:rFonts w:ascii="Garamond" w:hAnsi="Garamond" w:eastAsia="宋体"/>
                <w:sz w:val="20"/>
                <w:szCs w:val="22"/>
              </w:rPr>
              <w:t>10</w:t>
            </w:r>
            <w:r>
              <w:rPr>
                <w:rFonts w:hint="eastAsia" w:ascii="Garamond" w:hAnsi="Garamond" w:eastAsia="宋体"/>
                <w:sz w:val="20"/>
                <w:szCs w:val="22"/>
              </w:rPr>
              <w:t>月</w:t>
            </w:r>
          </w:p>
          <w:p w14:paraId="45B07717">
            <w:pPr>
              <w:ind w:firstLine="400" w:firstLineChars="200"/>
              <w:rPr>
                <w:rFonts w:ascii="Garamond" w:hAnsi="Garamond" w:eastAsia="宋体"/>
                <w:sz w:val="20"/>
                <w:szCs w:val="22"/>
              </w:rPr>
            </w:pPr>
            <w:r>
              <w:rPr>
                <w:rFonts w:hint="eastAsia" w:ascii="Garamond" w:hAnsi="Garamond" w:eastAsia="宋体"/>
                <w:sz w:val="20"/>
                <w:szCs w:val="22"/>
              </w:rPr>
              <w:t>本表用于MPA项目师生双向选择。有关导师的详细信息请点击浙江大学教师个人主页获取。</w:t>
            </w:r>
          </w:p>
        </w:tc>
      </w:tr>
    </w:tbl>
    <w:p w14:paraId="0BA323F8">
      <w:pPr>
        <w:rPr>
          <w:rFonts w:ascii="Garamond" w:hAnsi="Garamond" w:eastAsia="宋体"/>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Garamond">
    <w:panose1 w:val="02020404030301010803"/>
    <w:charset w:val="00"/>
    <w:family w:val="roman"/>
    <w:pitch w:val="default"/>
    <w:sig w:usb0="00000287" w:usb1="00000000" w:usb2="00000000" w:usb3="00000000" w:csb0="0000009F" w:csb1="DFD7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00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rPr>
      <w:sz w:val="24"/>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semiHidden/>
    <w:unhideWhenUsed/>
    <w:uiPriority w:val="99"/>
    <w:rPr>
      <w:color w:val="0000FF"/>
      <w:u w:val="single"/>
    </w:rPr>
  </w:style>
  <w:style w:type="paragraph" w:styleId="9">
    <w:name w:val="List Paragraph"/>
    <w:basedOn w:val="1"/>
    <w:qFormat/>
    <w:uiPriority w:val="34"/>
    <w:pPr>
      <w:ind w:firstLine="420" w:firstLineChars="200"/>
    </w:pPr>
  </w:style>
  <w:style w:type="character" w:customStyle="1" w:styleId="10">
    <w:name w:val="页眉 字符"/>
    <w:basedOn w:val="7"/>
    <w:link w:val="3"/>
    <w:uiPriority w:val="99"/>
    <w:rPr>
      <w:sz w:val="18"/>
      <w:szCs w:val="18"/>
    </w:rPr>
  </w:style>
  <w:style w:type="character" w:customStyle="1" w:styleId="11">
    <w:name w:val="页脚 字符"/>
    <w:basedOn w:val="7"/>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ZJU</Company>
  <Pages>1</Pages>
  <Words>126</Words>
  <Characters>138</Characters>
  <Lines>1</Lines>
  <Paragraphs>1</Paragraphs>
  <TotalTime>12</TotalTime>
  <ScaleCrop>false</ScaleCrop>
  <LinksUpToDate>false</LinksUpToDate>
  <CharactersWithSpaces>145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2019-10-12T01:50:00Z</dcterms:created>
  <dc:creator>Xiang Gao</dc:creator>
  <cp:lastModifiedBy>薛天航</cp:lastModifiedBy>
  <dcterms:modified xsi:type="dcterms:W3CDTF">2026-03-06T00:26:34Z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eyJoZGlkIjoiMmVkYjgwNTYyNjNhMGUyNWMyNWFlYjE0MzExMGY4ZDAiLCJ1c2VySWQiOiIxNzAyNTEzOTA5In0=</vt:lpwstr>
  </property>
  <property fmtid="{D5CDD505-2E9C-101B-9397-08002B2CF9AE}" pid="3" name="KSOProductBuildVer">
    <vt:lpwstr>2052-12.1.0.23542</vt:lpwstr>
  </property>
  <property fmtid="{D5CDD505-2E9C-101B-9397-08002B2CF9AE}" pid="4" name="ICV">
    <vt:lpwstr>1EB148F8E33E484D9877FA304FD099F3_13</vt:lpwstr>
  </property>
</Properties>
</file>